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EC" w:rsidRDefault="00375958" w:rsidP="0037595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75958">
        <w:rPr>
          <w:rFonts w:ascii="Arial" w:hAnsi="Arial" w:cs="Arial"/>
          <w:b/>
          <w:sz w:val="28"/>
          <w:szCs w:val="28"/>
        </w:rPr>
        <w:t>Leading Beyond Boundaries Leadership Programme Application</w:t>
      </w:r>
    </w:p>
    <w:p w:rsidR="00375958" w:rsidRPr="00375958" w:rsidRDefault="00375958" w:rsidP="0037595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7C00B0" w:rsidRPr="00375958" w:rsidRDefault="007C00B0" w:rsidP="00264ADF">
      <w:pPr>
        <w:pStyle w:val="NoSpacing"/>
        <w:jc w:val="center"/>
        <w:rPr>
          <w:rFonts w:ascii="Arial" w:hAnsi="Arial" w:cs="Arial"/>
          <w:b/>
          <w:i/>
        </w:rPr>
      </w:pPr>
      <w:r w:rsidRPr="00375958">
        <w:rPr>
          <w:rFonts w:ascii="Arial" w:hAnsi="Arial" w:cs="Arial"/>
          <w:b/>
          <w:i/>
        </w:rPr>
        <w:t>“Developing the Person, to improve the place, for the benefit of the whole Population”</w:t>
      </w:r>
    </w:p>
    <w:p w:rsidR="007C00B0" w:rsidRPr="00955B33" w:rsidRDefault="007C00B0" w:rsidP="004B71EC">
      <w:pPr>
        <w:pStyle w:val="NoSpacing"/>
        <w:ind w:left="720" w:firstLine="720"/>
        <w:rPr>
          <w:rFonts w:cs="Arial"/>
          <w:sz w:val="24"/>
          <w:szCs w:val="24"/>
        </w:rPr>
      </w:pPr>
    </w:p>
    <w:p w:rsidR="002F7CEC" w:rsidRPr="00375958" w:rsidRDefault="009F47CE" w:rsidP="009F47CE">
      <w:pPr>
        <w:pStyle w:val="NoSpacing"/>
        <w:ind w:left="142"/>
        <w:rPr>
          <w:rFonts w:ascii="Arial" w:hAnsi="Arial" w:cs="Arial"/>
          <w:b/>
          <w:sz w:val="28"/>
          <w:szCs w:val="28"/>
        </w:rPr>
      </w:pPr>
      <w:r w:rsidRPr="00375958">
        <w:rPr>
          <w:rFonts w:ascii="Arial" w:hAnsi="Arial" w:cs="Arial"/>
          <w:b/>
          <w:sz w:val="28"/>
          <w:szCs w:val="28"/>
        </w:rPr>
        <w:t>Frequently Asked Questions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933"/>
        <w:gridCol w:w="5552"/>
      </w:tblGrid>
      <w:tr w:rsidR="00322FA7" w:rsidRPr="00955B33" w:rsidTr="006A1A33">
        <w:tc>
          <w:tcPr>
            <w:tcW w:w="4933" w:type="dxa"/>
          </w:tcPr>
          <w:p w:rsidR="002F7CEC" w:rsidRPr="00375958" w:rsidRDefault="002F7CEC" w:rsidP="00322FA7">
            <w:pPr>
              <w:pStyle w:val="NoSpacing"/>
              <w:rPr>
                <w:rFonts w:ascii="Arial" w:hAnsi="Arial" w:cs="Arial"/>
              </w:rPr>
            </w:pPr>
            <w:r w:rsidRPr="00375958">
              <w:rPr>
                <w:rFonts w:ascii="Arial" w:hAnsi="Arial" w:cs="Arial"/>
              </w:rPr>
              <w:t xml:space="preserve">Will I get a place </w:t>
            </w:r>
            <w:r w:rsidR="00322FA7" w:rsidRPr="00375958">
              <w:rPr>
                <w:rFonts w:ascii="Arial" w:hAnsi="Arial" w:cs="Arial"/>
              </w:rPr>
              <w:t xml:space="preserve">on the programme </w:t>
            </w:r>
            <w:r w:rsidRPr="00375958">
              <w:rPr>
                <w:rFonts w:ascii="Arial" w:hAnsi="Arial" w:cs="Arial"/>
              </w:rPr>
              <w:t xml:space="preserve">based on </w:t>
            </w:r>
            <w:r w:rsidR="00C3470F" w:rsidRPr="00375958">
              <w:rPr>
                <w:rFonts w:ascii="Arial" w:hAnsi="Arial" w:cs="Arial"/>
              </w:rPr>
              <w:t xml:space="preserve">my job title </w:t>
            </w:r>
            <w:r w:rsidR="00BF20CF" w:rsidRPr="00375958">
              <w:rPr>
                <w:rFonts w:ascii="Arial" w:hAnsi="Arial" w:cs="Arial"/>
              </w:rPr>
              <w:t>i.e.</w:t>
            </w:r>
            <w:r w:rsidR="00C3470F" w:rsidRPr="00375958">
              <w:rPr>
                <w:rFonts w:ascii="Arial" w:hAnsi="Arial" w:cs="Arial"/>
              </w:rPr>
              <w:t xml:space="preserve"> the job I do </w:t>
            </w:r>
            <w:r w:rsidR="00322FA7" w:rsidRPr="00375958">
              <w:rPr>
                <w:rFonts w:ascii="Arial" w:hAnsi="Arial" w:cs="Arial"/>
              </w:rPr>
              <w:t>for</w:t>
            </w:r>
            <w:r w:rsidR="00C3470F" w:rsidRPr="00375958">
              <w:rPr>
                <w:rFonts w:ascii="Arial" w:hAnsi="Arial" w:cs="Arial"/>
              </w:rPr>
              <w:t xml:space="preserve"> my organisation</w:t>
            </w:r>
            <w:r w:rsidRPr="00375958">
              <w:rPr>
                <w:rFonts w:ascii="Arial" w:hAnsi="Arial" w:cs="Arial"/>
              </w:rPr>
              <w:t>?</w:t>
            </w:r>
          </w:p>
        </w:tc>
        <w:tc>
          <w:tcPr>
            <w:tcW w:w="5552" w:type="dxa"/>
          </w:tcPr>
          <w:p w:rsidR="00375958" w:rsidRPr="00375958" w:rsidRDefault="00E146E2" w:rsidP="002F7CEC">
            <w:pPr>
              <w:pStyle w:val="NoSpacing"/>
              <w:rPr>
                <w:rFonts w:ascii="Arial" w:hAnsi="Arial" w:cs="Arial"/>
              </w:rPr>
            </w:pPr>
            <w:r w:rsidRPr="00375958">
              <w:rPr>
                <w:rFonts w:ascii="Arial" w:hAnsi="Arial" w:cs="Arial"/>
              </w:rPr>
              <w:t xml:space="preserve">Places will </w:t>
            </w:r>
            <w:r w:rsidR="006F3771" w:rsidRPr="00375958">
              <w:rPr>
                <w:rFonts w:ascii="Arial" w:hAnsi="Arial" w:cs="Arial"/>
              </w:rPr>
              <w:t xml:space="preserve">be </w:t>
            </w:r>
            <w:r w:rsidRPr="00375958">
              <w:rPr>
                <w:rFonts w:ascii="Arial" w:hAnsi="Arial" w:cs="Arial"/>
              </w:rPr>
              <w:t>allocated based on the strength of the application &amp; line manager reference</w:t>
            </w:r>
            <w:r w:rsidR="00B1715E" w:rsidRPr="00375958">
              <w:rPr>
                <w:rFonts w:ascii="Arial" w:hAnsi="Arial" w:cs="Arial"/>
              </w:rPr>
              <w:t>. When considering if this is the right programme for you/the staff you line manage, think about how much a job role needs to collaborate across organisations/teams to support an integrated approach. Staff that need to build relationships and connections across organisations/services will benefit from the ‘systems leadership’ skills focussed upon within this programme</w:t>
            </w:r>
            <w:r w:rsidR="00375958">
              <w:rPr>
                <w:rFonts w:ascii="Arial" w:hAnsi="Arial" w:cs="Arial"/>
              </w:rPr>
              <w:t>.</w:t>
            </w:r>
          </w:p>
        </w:tc>
      </w:tr>
      <w:tr w:rsidR="00B23C47" w:rsidRPr="00955B33" w:rsidTr="006A1A33">
        <w:tc>
          <w:tcPr>
            <w:tcW w:w="4933" w:type="dxa"/>
          </w:tcPr>
          <w:p w:rsidR="00B23C47" w:rsidRPr="00375958" w:rsidRDefault="00B23C47" w:rsidP="003A0AA8">
            <w:pPr>
              <w:pStyle w:val="NoSpacing"/>
              <w:rPr>
                <w:rFonts w:ascii="Arial" w:hAnsi="Arial" w:cs="Arial"/>
              </w:rPr>
            </w:pPr>
            <w:r w:rsidRPr="00375958">
              <w:rPr>
                <w:rFonts w:ascii="Arial" w:hAnsi="Arial" w:cs="Arial"/>
              </w:rPr>
              <w:t>Can I appeal the decision if I haven’t been offered a place on the programme?</w:t>
            </w:r>
          </w:p>
        </w:tc>
        <w:tc>
          <w:tcPr>
            <w:tcW w:w="5552" w:type="dxa"/>
          </w:tcPr>
          <w:p w:rsidR="00B23C47" w:rsidRPr="00375958" w:rsidRDefault="00B23C47" w:rsidP="003A0AA8">
            <w:pPr>
              <w:pStyle w:val="NoSpacing"/>
              <w:rPr>
                <w:rFonts w:ascii="Arial" w:hAnsi="Arial" w:cs="Arial"/>
              </w:rPr>
            </w:pPr>
            <w:r w:rsidRPr="00375958">
              <w:rPr>
                <w:rFonts w:ascii="Arial" w:hAnsi="Arial" w:cs="Arial"/>
              </w:rPr>
              <w:t xml:space="preserve">We have </w:t>
            </w:r>
            <w:r w:rsidR="00E146E2" w:rsidRPr="00375958">
              <w:rPr>
                <w:rFonts w:ascii="Arial" w:hAnsi="Arial" w:cs="Arial"/>
              </w:rPr>
              <w:t>fair transparent selection criteria in place</w:t>
            </w:r>
            <w:r w:rsidRPr="00375958">
              <w:rPr>
                <w:rFonts w:ascii="Arial" w:hAnsi="Arial" w:cs="Arial"/>
              </w:rPr>
              <w:t>.</w:t>
            </w:r>
            <w:r w:rsidR="00E146E2" w:rsidRPr="00375958">
              <w:rPr>
                <w:rFonts w:ascii="Arial" w:hAnsi="Arial" w:cs="Arial"/>
              </w:rPr>
              <w:t xml:space="preserve">  </w:t>
            </w:r>
            <w:r w:rsidRPr="00375958">
              <w:rPr>
                <w:rFonts w:ascii="Arial" w:hAnsi="Arial" w:cs="Arial"/>
              </w:rPr>
              <w:t xml:space="preserve">The programme </w:t>
            </w:r>
            <w:r w:rsidR="00B1715E" w:rsidRPr="00375958">
              <w:rPr>
                <w:rFonts w:ascii="Arial" w:hAnsi="Arial" w:cs="Arial"/>
              </w:rPr>
              <w:t xml:space="preserve">may be </w:t>
            </w:r>
            <w:r w:rsidRPr="00375958">
              <w:rPr>
                <w:rFonts w:ascii="Arial" w:hAnsi="Arial" w:cs="Arial"/>
              </w:rPr>
              <w:t>oversubscribed</w:t>
            </w:r>
            <w:r w:rsidR="00B1715E" w:rsidRPr="00375958">
              <w:rPr>
                <w:rFonts w:ascii="Arial" w:hAnsi="Arial" w:cs="Arial"/>
              </w:rPr>
              <w:t>,</w:t>
            </w:r>
            <w:r w:rsidRPr="00375958">
              <w:rPr>
                <w:rFonts w:ascii="Arial" w:hAnsi="Arial" w:cs="Arial"/>
              </w:rPr>
              <w:t xml:space="preserve"> so a strong application with a reference stating reasons why you should be offered a place is crucial.  </w:t>
            </w:r>
            <w:r w:rsidR="000934BD" w:rsidRPr="00375958">
              <w:rPr>
                <w:rFonts w:ascii="Arial" w:hAnsi="Arial" w:cs="Arial"/>
              </w:rPr>
              <w:t>The Panel decision is final.</w:t>
            </w:r>
          </w:p>
          <w:p w:rsidR="00B23C47" w:rsidRPr="00375958" w:rsidRDefault="00B23C47" w:rsidP="003A0AA8">
            <w:pPr>
              <w:pStyle w:val="NoSpacing"/>
              <w:rPr>
                <w:rFonts w:ascii="Arial" w:hAnsi="Arial" w:cs="Arial"/>
              </w:rPr>
            </w:pPr>
          </w:p>
        </w:tc>
      </w:tr>
      <w:tr w:rsidR="00C3470F" w:rsidRPr="00955B33" w:rsidTr="006A1A33">
        <w:tc>
          <w:tcPr>
            <w:tcW w:w="4933" w:type="dxa"/>
          </w:tcPr>
          <w:p w:rsidR="00C3470F" w:rsidRPr="00375958" w:rsidRDefault="00C3470F" w:rsidP="00B1715E">
            <w:pPr>
              <w:pStyle w:val="NoSpacing"/>
              <w:rPr>
                <w:rFonts w:ascii="Arial" w:hAnsi="Arial" w:cs="Arial"/>
              </w:rPr>
            </w:pPr>
            <w:r w:rsidRPr="00375958">
              <w:rPr>
                <w:rFonts w:ascii="Arial" w:hAnsi="Arial" w:cs="Arial"/>
              </w:rPr>
              <w:t xml:space="preserve">Is it important to know about </w:t>
            </w:r>
            <w:r w:rsidR="00BF20CF">
              <w:rPr>
                <w:rFonts w:ascii="Arial" w:hAnsi="Arial" w:cs="Arial"/>
              </w:rPr>
              <w:t>BL</w:t>
            </w:r>
            <w:r w:rsidR="00B1715E" w:rsidRPr="00375958">
              <w:rPr>
                <w:rFonts w:ascii="Arial" w:hAnsi="Arial" w:cs="Arial"/>
              </w:rPr>
              <w:t>MK</w:t>
            </w:r>
            <w:r w:rsidR="00BF20CF">
              <w:rPr>
                <w:rFonts w:ascii="Arial" w:hAnsi="Arial" w:cs="Arial"/>
              </w:rPr>
              <w:t xml:space="preserve"> </w:t>
            </w:r>
            <w:r w:rsidRPr="00375958">
              <w:rPr>
                <w:rFonts w:ascii="Arial" w:hAnsi="Arial" w:cs="Arial"/>
              </w:rPr>
              <w:t>ICS an</w:t>
            </w:r>
            <w:r w:rsidR="00B1715E" w:rsidRPr="00375958">
              <w:rPr>
                <w:rFonts w:ascii="Arial" w:hAnsi="Arial" w:cs="Arial"/>
              </w:rPr>
              <w:t>d our</w:t>
            </w:r>
            <w:r w:rsidRPr="00375958">
              <w:rPr>
                <w:rFonts w:ascii="Arial" w:hAnsi="Arial" w:cs="Arial"/>
              </w:rPr>
              <w:t xml:space="preserve"> priorities?</w:t>
            </w:r>
          </w:p>
        </w:tc>
        <w:tc>
          <w:tcPr>
            <w:tcW w:w="5552" w:type="dxa"/>
          </w:tcPr>
          <w:p w:rsidR="00C3470F" w:rsidRPr="00375958" w:rsidRDefault="00C3470F" w:rsidP="002F7CEC">
            <w:pPr>
              <w:pStyle w:val="NoSpacing"/>
              <w:rPr>
                <w:rFonts w:ascii="Arial" w:hAnsi="Arial" w:cs="Arial"/>
              </w:rPr>
            </w:pPr>
            <w:r w:rsidRPr="00375958">
              <w:rPr>
                <w:rFonts w:ascii="Arial" w:hAnsi="Arial" w:cs="Arial"/>
              </w:rPr>
              <w:t xml:space="preserve">Yes, it is helpful to know about </w:t>
            </w:r>
            <w:r w:rsidR="00B1715E" w:rsidRPr="00375958">
              <w:rPr>
                <w:rFonts w:ascii="Arial" w:hAnsi="Arial" w:cs="Arial"/>
              </w:rPr>
              <w:t>BLMK</w:t>
            </w:r>
            <w:r w:rsidRPr="00375958">
              <w:rPr>
                <w:rFonts w:ascii="Arial" w:hAnsi="Arial" w:cs="Arial"/>
              </w:rPr>
              <w:t>ICS and</w:t>
            </w:r>
            <w:r w:rsidR="00B1715E" w:rsidRPr="00375958">
              <w:rPr>
                <w:rFonts w:ascii="Arial" w:hAnsi="Arial" w:cs="Arial"/>
              </w:rPr>
              <w:t xml:space="preserve"> our</w:t>
            </w:r>
            <w:r w:rsidRPr="00375958">
              <w:rPr>
                <w:rFonts w:ascii="Arial" w:hAnsi="Arial" w:cs="Arial"/>
              </w:rPr>
              <w:t xml:space="preserve"> priorities in order to consider what your Change Challenge might be, </w:t>
            </w:r>
            <w:r w:rsidR="00BF20CF" w:rsidRPr="00375958">
              <w:rPr>
                <w:rFonts w:ascii="Arial" w:hAnsi="Arial" w:cs="Arial"/>
              </w:rPr>
              <w:t>i.e.</w:t>
            </w:r>
            <w:r w:rsidRPr="00375958">
              <w:rPr>
                <w:rFonts w:ascii="Arial" w:hAnsi="Arial" w:cs="Arial"/>
              </w:rPr>
              <w:t xml:space="preserve"> how will it benefit </w:t>
            </w:r>
            <w:r w:rsidR="00B1715E" w:rsidRPr="00375958">
              <w:rPr>
                <w:rFonts w:ascii="Arial" w:hAnsi="Arial" w:cs="Arial"/>
              </w:rPr>
              <w:t xml:space="preserve">an integrated approach, </w:t>
            </w:r>
            <w:r w:rsidR="00B23C47" w:rsidRPr="00375958">
              <w:rPr>
                <w:rFonts w:ascii="Arial" w:hAnsi="Arial" w:cs="Arial"/>
              </w:rPr>
              <w:t>the</w:t>
            </w:r>
            <w:r w:rsidRPr="00375958">
              <w:rPr>
                <w:rFonts w:ascii="Arial" w:hAnsi="Arial" w:cs="Arial"/>
              </w:rPr>
              <w:t xml:space="preserve"> System, the patient outcome</w:t>
            </w:r>
            <w:r w:rsidR="00B23C47" w:rsidRPr="00375958">
              <w:rPr>
                <w:rFonts w:ascii="Arial" w:hAnsi="Arial" w:cs="Arial"/>
              </w:rPr>
              <w:t>, the pathway.</w:t>
            </w:r>
          </w:p>
          <w:p w:rsidR="00C3470F" w:rsidRPr="00375958" w:rsidRDefault="00C3470F" w:rsidP="002F7CEC">
            <w:pPr>
              <w:pStyle w:val="NoSpacing"/>
              <w:rPr>
                <w:rFonts w:ascii="Arial" w:hAnsi="Arial" w:cs="Arial"/>
              </w:rPr>
            </w:pPr>
          </w:p>
        </w:tc>
      </w:tr>
      <w:tr w:rsidR="00322FA7" w:rsidRPr="00955B33" w:rsidTr="006A1A33">
        <w:tc>
          <w:tcPr>
            <w:tcW w:w="4933" w:type="dxa"/>
          </w:tcPr>
          <w:p w:rsidR="00322FA7" w:rsidRPr="00375958" w:rsidRDefault="00322FA7" w:rsidP="002F7CEC">
            <w:pPr>
              <w:pStyle w:val="NoSpacing"/>
              <w:rPr>
                <w:rFonts w:ascii="Arial" w:hAnsi="Arial" w:cs="Arial"/>
              </w:rPr>
            </w:pPr>
            <w:r w:rsidRPr="00375958">
              <w:rPr>
                <w:rFonts w:ascii="Arial" w:hAnsi="Arial" w:cs="Arial"/>
              </w:rPr>
              <w:t>What is backfill and can I apply for it?</w:t>
            </w:r>
          </w:p>
        </w:tc>
        <w:tc>
          <w:tcPr>
            <w:tcW w:w="5552" w:type="dxa"/>
          </w:tcPr>
          <w:p w:rsidR="00322FA7" w:rsidRPr="00375958" w:rsidRDefault="00322FA7" w:rsidP="002F7CEC">
            <w:pPr>
              <w:pStyle w:val="NoSpacing"/>
              <w:rPr>
                <w:rFonts w:ascii="Arial" w:hAnsi="Arial" w:cs="Arial"/>
              </w:rPr>
            </w:pPr>
            <w:r w:rsidRPr="00375958">
              <w:rPr>
                <w:rFonts w:ascii="Arial" w:hAnsi="Arial" w:cs="Arial"/>
              </w:rPr>
              <w:t>The backfill policy is in place to enable self-employed GP’s to attend our programme, whilst still being able to ensure patient care is in place at their practice.  It is no</w:t>
            </w:r>
            <w:r w:rsidR="000934BD" w:rsidRPr="00375958">
              <w:rPr>
                <w:rFonts w:ascii="Arial" w:hAnsi="Arial" w:cs="Arial"/>
              </w:rPr>
              <w:t>t available to other applicants as their organisations will be releasing them to attend.</w:t>
            </w:r>
          </w:p>
          <w:p w:rsidR="00322FA7" w:rsidRPr="00375958" w:rsidRDefault="00322FA7" w:rsidP="002F7CEC">
            <w:pPr>
              <w:pStyle w:val="NoSpacing"/>
              <w:rPr>
                <w:rFonts w:ascii="Arial" w:hAnsi="Arial" w:cs="Arial"/>
              </w:rPr>
            </w:pPr>
          </w:p>
        </w:tc>
      </w:tr>
      <w:tr w:rsidR="00C3470F" w:rsidRPr="00955B33" w:rsidTr="006A1A33">
        <w:tc>
          <w:tcPr>
            <w:tcW w:w="4933" w:type="dxa"/>
          </w:tcPr>
          <w:p w:rsidR="00C3470F" w:rsidRPr="00375958" w:rsidRDefault="00C3470F" w:rsidP="000934BD">
            <w:pPr>
              <w:pStyle w:val="NoSpacing"/>
              <w:rPr>
                <w:rFonts w:ascii="Arial" w:hAnsi="Arial" w:cs="Arial"/>
              </w:rPr>
            </w:pPr>
            <w:r w:rsidRPr="00375958">
              <w:rPr>
                <w:rFonts w:ascii="Arial" w:hAnsi="Arial" w:cs="Arial"/>
              </w:rPr>
              <w:t>How do</w:t>
            </w:r>
            <w:r w:rsidR="000934BD" w:rsidRPr="00375958">
              <w:rPr>
                <w:rFonts w:ascii="Arial" w:hAnsi="Arial" w:cs="Arial"/>
              </w:rPr>
              <w:t>es a GP</w:t>
            </w:r>
            <w:r w:rsidRPr="00375958">
              <w:rPr>
                <w:rFonts w:ascii="Arial" w:hAnsi="Arial" w:cs="Arial"/>
              </w:rPr>
              <w:t xml:space="preserve"> apply for backfill?</w:t>
            </w:r>
          </w:p>
        </w:tc>
        <w:tc>
          <w:tcPr>
            <w:tcW w:w="5552" w:type="dxa"/>
          </w:tcPr>
          <w:p w:rsidR="00E146E2" w:rsidRPr="00375958" w:rsidRDefault="00C3470F" w:rsidP="002F7CEC">
            <w:pPr>
              <w:pStyle w:val="NoSpacing"/>
              <w:rPr>
                <w:rFonts w:ascii="Arial" w:hAnsi="Arial" w:cs="Arial"/>
              </w:rPr>
            </w:pPr>
            <w:r w:rsidRPr="00375958">
              <w:rPr>
                <w:rFonts w:ascii="Arial" w:hAnsi="Arial" w:cs="Arial"/>
              </w:rPr>
              <w:t xml:space="preserve">After each event, you should send an invoice to </w:t>
            </w:r>
            <w:r w:rsidR="00261072" w:rsidRPr="00375958">
              <w:rPr>
                <w:rFonts w:ascii="Arial" w:hAnsi="Arial" w:cs="Arial"/>
              </w:rPr>
              <w:t>Tia Corcoran</w:t>
            </w:r>
            <w:r w:rsidRPr="00375958">
              <w:rPr>
                <w:rFonts w:ascii="Arial" w:hAnsi="Arial" w:cs="Arial"/>
              </w:rPr>
              <w:t xml:space="preserve"> who will be able to organise payments.</w:t>
            </w:r>
            <w:r w:rsidR="00E146E2" w:rsidRPr="00375958">
              <w:rPr>
                <w:rFonts w:ascii="Arial" w:hAnsi="Arial" w:cs="Arial"/>
              </w:rPr>
              <w:t xml:space="preserve"> </w:t>
            </w:r>
            <w:hyperlink r:id="rId8" w:history="1">
              <w:r w:rsidR="00261072" w:rsidRPr="00375958">
                <w:rPr>
                  <w:rStyle w:val="Hyperlink"/>
                  <w:rFonts w:ascii="Arial" w:hAnsi="Arial" w:cs="Arial"/>
                </w:rPr>
                <w:t>tia.corcoran@nhs.net</w:t>
              </w:r>
            </w:hyperlink>
            <w:r w:rsidR="00E146E2" w:rsidRPr="00375958">
              <w:rPr>
                <w:rFonts w:ascii="Arial" w:hAnsi="Arial" w:cs="Arial"/>
              </w:rPr>
              <w:t xml:space="preserve"> </w:t>
            </w:r>
          </w:p>
          <w:p w:rsidR="00C3470F" w:rsidRPr="00375958" w:rsidRDefault="00C3470F" w:rsidP="002F7CEC">
            <w:pPr>
              <w:pStyle w:val="NoSpacing"/>
              <w:rPr>
                <w:rFonts w:ascii="Arial" w:hAnsi="Arial" w:cs="Arial"/>
              </w:rPr>
            </w:pPr>
          </w:p>
        </w:tc>
      </w:tr>
      <w:tr w:rsidR="00C3470F" w:rsidRPr="00955B33" w:rsidTr="002168C6">
        <w:trPr>
          <w:trHeight w:val="971"/>
        </w:trPr>
        <w:tc>
          <w:tcPr>
            <w:tcW w:w="4933" w:type="dxa"/>
          </w:tcPr>
          <w:p w:rsidR="00C3470F" w:rsidRPr="00375958" w:rsidRDefault="00C3470F" w:rsidP="002168C6">
            <w:pPr>
              <w:pStyle w:val="NoSpacing"/>
              <w:rPr>
                <w:rFonts w:ascii="Arial" w:hAnsi="Arial" w:cs="Arial"/>
              </w:rPr>
            </w:pPr>
            <w:r w:rsidRPr="00375958">
              <w:rPr>
                <w:rFonts w:ascii="Arial" w:hAnsi="Arial" w:cs="Arial"/>
              </w:rPr>
              <w:t>Is it possible for a</w:t>
            </w:r>
            <w:r w:rsidR="00322FA7" w:rsidRPr="00375958">
              <w:rPr>
                <w:rFonts w:ascii="Arial" w:hAnsi="Arial" w:cs="Arial"/>
              </w:rPr>
              <w:t>n</w:t>
            </w:r>
            <w:r w:rsidRPr="00375958">
              <w:rPr>
                <w:rFonts w:ascii="Arial" w:hAnsi="Arial" w:cs="Arial"/>
              </w:rPr>
              <w:t xml:space="preserve"> </w:t>
            </w:r>
            <w:r w:rsidR="00322FA7" w:rsidRPr="00375958">
              <w:rPr>
                <w:rFonts w:ascii="Arial" w:hAnsi="Arial" w:cs="Arial"/>
              </w:rPr>
              <w:t>employee</w:t>
            </w:r>
            <w:r w:rsidRPr="00375958">
              <w:rPr>
                <w:rFonts w:ascii="Arial" w:hAnsi="Arial" w:cs="Arial"/>
              </w:rPr>
              <w:t xml:space="preserve"> and </w:t>
            </w:r>
            <w:r w:rsidR="00322FA7" w:rsidRPr="00375958">
              <w:rPr>
                <w:rFonts w:ascii="Arial" w:hAnsi="Arial" w:cs="Arial"/>
              </w:rPr>
              <w:t>their</w:t>
            </w:r>
            <w:r w:rsidRPr="00375958">
              <w:rPr>
                <w:rFonts w:ascii="Arial" w:hAnsi="Arial" w:cs="Arial"/>
              </w:rPr>
              <w:t xml:space="preserve"> line manager to both do the programme at the same time?</w:t>
            </w:r>
          </w:p>
        </w:tc>
        <w:tc>
          <w:tcPr>
            <w:tcW w:w="5552" w:type="dxa"/>
          </w:tcPr>
          <w:p w:rsidR="00C3470F" w:rsidRPr="00375958" w:rsidRDefault="00C3470F" w:rsidP="00E146E2">
            <w:pPr>
              <w:pStyle w:val="NoSpacing"/>
              <w:rPr>
                <w:rFonts w:ascii="Arial" w:hAnsi="Arial" w:cs="Arial"/>
              </w:rPr>
            </w:pPr>
            <w:r w:rsidRPr="00375958">
              <w:rPr>
                <w:rFonts w:ascii="Arial" w:hAnsi="Arial" w:cs="Arial"/>
              </w:rPr>
              <w:t xml:space="preserve">No, we </w:t>
            </w:r>
            <w:r w:rsidR="00322FA7" w:rsidRPr="00375958">
              <w:rPr>
                <w:rFonts w:ascii="Arial" w:hAnsi="Arial" w:cs="Arial"/>
              </w:rPr>
              <w:t xml:space="preserve">only </w:t>
            </w:r>
            <w:r w:rsidRPr="00375958">
              <w:rPr>
                <w:rFonts w:ascii="Arial" w:hAnsi="Arial" w:cs="Arial"/>
              </w:rPr>
              <w:t xml:space="preserve">take one applicant from any one team.  </w:t>
            </w:r>
          </w:p>
        </w:tc>
      </w:tr>
    </w:tbl>
    <w:p w:rsidR="00BF20CF" w:rsidRDefault="00BF20CF" w:rsidP="00BF20CF">
      <w:pPr>
        <w:pStyle w:val="Footer"/>
        <w:jc w:val="center"/>
      </w:pPr>
    </w:p>
    <w:p w:rsidR="00BF20CF" w:rsidRPr="00BF20CF" w:rsidRDefault="00BF20CF" w:rsidP="00BF20CF">
      <w:pPr>
        <w:pStyle w:val="Footer"/>
        <w:jc w:val="center"/>
        <w:rPr>
          <w:b/>
        </w:rPr>
      </w:pPr>
      <w:r w:rsidRPr="00BF20CF">
        <w:rPr>
          <w:b/>
        </w:rPr>
        <w:t xml:space="preserve">** If no reference is provided by the close date, your application </w:t>
      </w:r>
      <w:r w:rsidRPr="00BF20CF">
        <w:rPr>
          <w:b/>
          <w:i/>
          <w:u w:val="single"/>
        </w:rPr>
        <w:t>will not</w:t>
      </w:r>
      <w:r w:rsidRPr="00BF20CF">
        <w:rPr>
          <w:b/>
        </w:rPr>
        <w:t xml:space="preserve"> proceed to panel.</w:t>
      </w:r>
    </w:p>
    <w:p w:rsidR="002F7CEC" w:rsidRPr="00955B33" w:rsidRDefault="002F7CEC" w:rsidP="002F7CEC">
      <w:pPr>
        <w:pStyle w:val="NoSpacing"/>
        <w:ind w:left="142" w:hanging="11"/>
        <w:rPr>
          <w:rFonts w:cs="Arial"/>
          <w:sz w:val="24"/>
          <w:szCs w:val="24"/>
        </w:rPr>
      </w:pPr>
    </w:p>
    <w:sectPr w:rsidR="002F7CEC" w:rsidRPr="00955B33" w:rsidSect="006F1B8E">
      <w:headerReference w:type="default" r:id="rId9"/>
      <w:footerReference w:type="default" r:id="rId10"/>
      <w:pgSz w:w="11906" w:h="16838"/>
      <w:pgMar w:top="1560" w:right="849" w:bottom="1135" w:left="709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54C" w:rsidRDefault="00E5554C" w:rsidP="00074FBC">
      <w:pPr>
        <w:spacing w:after="0" w:line="240" w:lineRule="auto"/>
      </w:pPr>
      <w:r>
        <w:separator/>
      </w:r>
    </w:p>
  </w:endnote>
  <w:endnote w:type="continuationSeparator" w:id="0">
    <w:p w:rsidR="00E5554C" w:rsidRDefault="00E5554C" w:rsidP="00074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0CF" w:rsidRDefault="00BF20CF" w:rsidP="00BF20CF">
    <w:pPr>
      <w:pStyle w:val="Footer"/>
      <w:tabs>
        <w:tab w:val="clear" w:pos="4513"/>
        <w:tab w:val="clear" w:pos="9026"/>
        <w:tab w:val="left" w:pos="1428"/>
      </w:tabs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3D44F53" wp14:editId="02F3E88A">
          <wp:simplePos x="0" y="0"/>
          <wp:positionH relativeFrom="margin">
            <wp:align>left</wp:align>
          </wp:positionH>
          <wp:positionV relativeFrom="paragraph">
            <wp:posOffset>-373380</wp:posOffset>
          </wp:positionV>
          <wp:extent cx="1615440" cy="781050"/>
          <wp:effectExtent l="0" t="0" r="3810" b="0"/>
          <wp:wrapTight wrapText="bothSides">
            <wp:wrapPolygon edited="0">
              <wp:start x="0" y="0"/>
              <wp:lineTo x="0" y="21073"/>
              <wp:lineTo x="21396" y="21073"/>
              <wp:lineTo x="21396" y="0"/>
              <wp:lineTo x="0" y="0"/>
            </wp:wrapPolygon>
          </wp:wrapTight>
          <wp:docPr id="1" name="Picture 1" descr="\\vectra\users\Tia.Corcoran\My Pictures\lbb 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ectra\users\Tia.Corcoran\My Pictures\lbb logo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08" t="5535" r="63333" b="73147"/>
                  <a:stretch/>
                </pic:blipFill>
                <pic:spPr bwMode="auto">
                  <a:xfrm>
                    <a:off x="0" y="0"/>
                    <a:ext cx="161544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54C" w:rsidRDefault="00E5554C" w:rsidP="00074FBC">
      <w:pPr>
        <w:spacing w:after="0" w:line="240" w:lineRule="auto"/>
      </w:pPr>
      <w:r>
        <w:separator/>
      </w:r>
    </w:p>
  </w:footnote>
  <w:footnote w:type="continuationSeparator" w:id="0">
    <w:p w:rsidR="00E5554C" w:rsidRDefault="00E5554C" w:rsidP="00074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337" w:rsidRDefault="00261072" w:rsidP="0026107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5030470</wp:posOffset>
          </wp:positionH>
          <wp:positionV relativeFrom="paragraph">
            <wp:posOffset>-281940</wp:posOffset>
          </wp:positionV>
          <wp:extent cx="1819275" cy="819150"/>
          <wp:effectExtent l="0" t="0" r="9525" b="0"/>
          <wp:wrapTight wrapText="bothSides">
            <wp:wrapPolygon edited="0">
              <wp:start x="0" y="0"/>
              <wp:lineTo x="0" y="21098"/>
              <wp:lineTo x="21487" y="21098"/>
              <wp:lineTo x="21487" y="0"/>
              <wp:lineTo x="0" y="0"/>
            </wp:wrapPolygon>
          </wp:wrapTight>
          <wp:docPr id="2" name="Picture 2" descr="\\vectra\users\Tia.Corcoran\My Pictures\BLMK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vectra\users\Tia.Corcoran\My Pictures\BLMK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7337" w:rsidRDefault="006F1B8E" w:rsidP="006F1B8E">
    <w:pPr>
      <w:pStyle w:val="Header"/>
      <w:tabs>
        <w:tab w:val="left" w:pos="807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C230F"/>
    <w:multiLevelType w:val="hybridMultilevel"/>
    <w:tmpl w:val="6EAC2C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B7C50"/>
    <w:multiLevelType w:val="hybridMultilevel"/>
    <w:tmpl w:val="F1701C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D702E"/>
    <w:multiLevelType w:val="hybridMultilevel"/>
    <w:tmpl w:val="C0E6A7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52EC4"/>
    <w:multiLevelType w:val="hybridMultilevel"/>
    <w:tmpl w:val="7DCC58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4AC4247"/>
    <w:multiLevelType w:val="hybridMultilevel"/>
    <w:tmpl w:val="C5B8AF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16F9E"/>
    <w:multiLevelType w:val="hybridMultilevel"/>
    <w:tmpl w:val="B0EA7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90"/>
    <w:rsid w:val="000018B5"/>
    <w:rsid w:val="000062EA"/>
    <w:rsid w:val="000213F8"/>
    <w:rsid w:val="000455C0"/>
    <w:rsid w:val="00074FBC"/>
    <w:rsid w:val="00084256"/>
    <w:rsid w:val="000934BD"/>
    <w:rsid w:val="000954C7"/>
    <w:rsid w:val="000D517D"/>
    <w:rsid w:val="000E1A91"/>
    <w:rsid w:val="000F7725"/>
    <w:rsid w:val="00111B44"/>
    <w:rsid w:val="00113183"/>
    <w:rsid w:val="00156E37"/>
    <w:rsid w:val="00174B3A"/>
    <w:rsid w:val="001A47EC"/>
    <w:rsid w:val="001D16B9"/>
    <w:rsid w:val="001D4EF2"/>
    <w:rsid w:val="002168C6"/>
    <w:rsid w:val="00261072"/>
    <w:rsid w:val="00264ADF"/>
    <w:rsid w:val="002A0269"/>
    <w:rsid w:val="002F7CEC"/>
    <w:rsid w:val="00322FA7"/>
    <w:rsid w:val="003256E6"/>
    <w:rsid w:val="00325C8B"/>
    <w:rsid w:val="00343325"/>
    <w:rsid w:val="00375391"/>
    <w:rsid w:val="00375958"/>
    <w:rsid w:val="003A7789"/>
    <w:rsid w:val="003D15A7"/>
    <w:rsid w:val="003E0172"/>
    <w:rsid w:val="00434CEE"/>
    <w:rsid w:val="00442ED2"/>
    <w:rsid w:val="004A317B"/>
    <w:rsid w:val="004B71EC"/>
    <w:rsid w:val="004C1C23"/>
    <w:rsid w:val="00524DCC"/>
    <w:rsid w:val="00525209"/>
    <w:rsid w:val="00537E15"/>
    <w:rsid w:val="005925FE"/>
    <w:rsid w:val="005C1EFE"/>
    <w:rsid w:val="005F2222"/>
    <w:rsid w:val="006006E6"/>
    <w:rsid w:val="00677109"/>
    <w:rsid w:val="006A1A33"/>
    <w:rsid w:val="006C244F"/>
    <w:rsid w:val="006F1B8E"/>
    <w:rsid w:val="006F2A0F"/>
    <w:rsid w:val="006F3771"/>
    <w:rsid w:val="00715B7B"/>
    <w:rsid w:val="00786C60"/>
    <w:rsid w:val="007B2398"/>
    <w:rsid w:val="007C00B0"/>
    <w:rsid w:val="00826814"/>
    <w:rsid w:val="00880766"/>
    <w:rsid w:val="008B07C8"/>
    <w:rsid w:val="00903B44"/>
    <w:rsid w:val="00907337"/>
    <w:rsid w:val="00924374"/>
    <w:rsid w:val="0092640A"/>
    <w:rsid w:val="00934D57"/>
    <w:rsid w:val="009408BE"/>
    <w:rsid w:val="0094454D"/>
    <w:rsid w:val="00946AF6"/>
    <w:rsid w:val="00955B33"/>
    <w:rsid w:val="009A3318"/>
    <w:rsid w:val="009D2C4A"/>
    <w:rsid w:val="009D3090"/>
    <w:rsid w:val="009D7180"/>
    <w:rsid w:val="009F47CE"/>
    <w:rsid w:val="00A812F4"/>
    <w:rsid w:val="00AF693A"/>
    <w:rsid w:val="00B1715E"/>
    <w:rsid w:val="00B23C47"/>
    <w:rsid w:val="00B32D61"/>
    <w:rsid w:val="00B46BF5"/>
    <w:rsid w:val="00B91688"/>
    <w:rsid w:val="00B9248E"/>
    <w:rsid w:val="00B97BD6"/>
    <w:rsid w:val="00BB0ED9"/>
    <w:rsid w:val="00BF20CF"/>
    <w:rsid w:val="00BF4D7C"/>
    <w:rsid w:val="00C0644C"/>
    <w:rsid w:val="00C11EF4"/>
    <w:rsid w:val="00C26F27"/>
    <w:rsid w:val="00C3470F"/>
    <w:rsid w:val="00C363E6"/>
    <w:rsid w:val="00C628FB"/>
    <w:rsid w:val="00C83F35"/>
    <w:rsid w:val="00D406AB"/>
    <w:rsid w:val="00D63E07"/>
    <w:rsid w:val="00D72B91"/>
    <w:rsid w:val="00D7744B"/>
    <w:rsid w:val="00D779B1"/>
    <w:rsid w:val="00D85249"/>
    <w:rsid w:val="00DB09B9"/>
    <w:rsid w:val="00DB13F8"/>
    <w:rsid w:val="00DD10BD"/>
    <w:rsid w:val="00DE4AA6"/>
    <w:rsid w:val="00E11E50"/>
    <w:rsid w:val="00E146E2"/>
    <w:rsid w:val="00E307D2"/>
    <w:rsid w:val="00E35F6A"/>
    <w:rsid w:val="00E5554C"/>
    <w:rsid w:val="00E76ED4"/>
    <w:rsid w:val="00E90ECE"/>
    <w:rsid w:val="00F569FD"/>
    <w:rsid w:val="00FB32E5"/>
    <w:rsid w:val="00FD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15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15A7"/>
    <w:pPr>
      <w:ind w:left="720"/>
      <w:contextualSpacing/>
    </w:pPr>
  </w:style>
  <w:style w:type="paragraph" w:styleId="NoSpacing">
    <w:name w:val="No Spacing"/>
    <w:uiPriority w:val="1"/>
    <w:qFormat/>
    <w:rsid w:val="004B71EC"/>
    <w:pPr>
      <w:spacing w:after="0" w:line="240" w:lineRule="auto"/>
    </w:pPr>
  </w:style>
  <w:style w:type="table" w:styleId="TableGrid">
    <w:name w:val="Table Grid"/>
    <w:basedOn w:val="TableNormal"/>
    <w:uiPriority w:val="59"/>
    <w:rsid w:val="004B7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4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A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4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FBC"/>
  </w:style>
  <w:style w:type="paragraph" w:styleId="Footer">
    <w:name w:val="footer"/>
    <w:basedOn w:val="Normal"/>
    <w:link w:val="FooterChar"/>
    <w:uiPriority w:val="99"/>
    <w:unhideWhenUsed/>
    <w:rsid w:val="00074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F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15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15A7"/>
    <w:pPr>
      <w:ind w:left="720"/>
      <w:contextualSpacing/>
    </w:pPr>
  </w:style>
  <w:style w:type="paragraph" w:styleId="NoSpacing">
    <w:name w:val="No Spacing"/>
    <w:uiPriority w:val="1"/>
    <w:qFormat/>
    <w:rsid w:val="004B71EC"/>
    <w:pPr>
      <w:spacing w:after="0" w:line="240" w:lineRule="auto"/>
    </w:pPr>
  </w:style>
  <w:style w:type="table" w:styleId="TableGrid">
    <w:name w:val="Table Grid"/>
    <w:basedOn w:val="TableNormal"/>
    <w:uiPriority w:val="59"/>
    <w:rsid w:val="004B7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4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A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4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FBC"/>
  </w:style>
  <w:style w:type="paragraph" w:styleId="Footer">
    <w:name w:val="footer"/>
    <w:basedOn w:val="Normal"/>
    <w:link w:val="FooterChar"/>
    <w:uiPriority w:val="99"/>
    <w:unhideWhenUsed/>
    <w:rsid w:val="00074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a.corcoran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Keuneman Monty</cp:lastModifiedBy>
  <cp:revision>2</cp:revision>
  <cp:lastPrinted>2016-11-03T14:33:00Z</cp:lastPrinted>
  <dcterms:created xsi:type="dcterms:W3CDTF">2019-05-21T07:36:00Z</dcterms:created>
  <dcterms:modified xsi:type="dcterms:W3CDTF">2019-05-21T07:36:00Z</dcterms:modified>
</cp:coreProperties>
</file>